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1A" w:rsidRPr="008A6AD7" w:rsidRDefault="008A6AD7" w:rsidP="008A6AD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A6A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Програма USAID АГРО надасть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співфінансування </w:t>
      </w:r>
      <w:r w:rsidRPr="008A6A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на розвиток експортоорієнтованої переробки зернових, олійних та бобових культур</w:t>
      </w:r>
    </w:p>
    <w:p w:rsidR="008A6AD7" w:rsidRPr="008A6AD7" w:rsidRDefault="008A6AD7" w:rsidP="008A6AD7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1. Тип допомоги:</w:t>
      </w: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A511A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грант</w:t>
      </w:r>
      <w:r w:rsidR="00B20336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, </w:t>
      </w:r>
      <w:r w:rsidR="008A6AD7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співфінансування</w:t>
      </w:r>
      <w:r w:rsidR="00B20336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</w:p>
    <w:p w:rsidR="00B04FBC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</w:pPr>
    </w:p>
    <w:p w:rsidR="00B04FBC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2. Термін дії:</w:t>
      </w:r>
      <w:r w:rsidR="002F332D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B37270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_</w:t>
      </w:r>
    </w:p>
    <w:p w:rsidR="00B04FBC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</w:pPr>
    </w:p>
    <w:p w:rsidR="00112E75" w:rsidRPr="008A6AD7" w:rsidRDefault="00B04FBC" w:rsidP="008A6AD7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3. Територія:</w:t>
      </w:r>
      <w:r w:rsidR="003A511A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5925E9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підконтрольна Україні</w:t>
      </w:r>
    </w:p>
    <w:p w:rsidR="00B04FBC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</w:pPr>
      <w:bookmarkStart w:id="0" w:name="_GoBack"/>
      <w:bookmarkEnd w:id="0"/>
    </w:p>
    <w:p w:rsidR="00EE6FEF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4. Вид допомоги: </w:t>
      </w:r>
      <w:r w:rsidR="008A6AD7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від 10 млн грн до 100 млн грн (для 20 підприємств)</w:t>
      </w:r>
    </w:p>
    <w:p w:rsidR="008A6AD7" w:rsidRPr="008A6AD7" w:rsidRDefault="008A6AD7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B37270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5. Дедлайн: </w:t>
      </w:r>
      <w:r w:rsidR="00B37270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до 7 січня 2024 року (подання заявок на І етап) </w:t>
      </w:r>
    </w:p>
    <w:p w:rsidR="00B04FBC" w:rsidRPr="008A6AD7" w:rsidRDefault="00B37270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                    </w:t>
      </w:r>
      <w:r w:rsidR="00E5273B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до </w:t>
      </w:r>
      <w:r w:rsidR="00031128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3</w:t>
      </w:r>
      <w:r w:rsidR="00E5273B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1 травня 2024 року</w:t>
      </w: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(подання заявок)</w:t>
      </w:r>
    </w:p>
    <w:p w:rsidR="00653024" w:rsidRPr="008A6AD7" w:rsidRDefault="00653024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3A511A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6. Учасник(и):</w:t>
      </w:r>
      <w:r w:rsidR="002F332D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8A6AD7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недержавні (приватні) підприємства/компанії, які мають </w:t>
      </w:r>
      <w:proofErr w:type="spellStart"/>
      <w:r w:rsidR="008A6AD7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>експортоорієнтовані</w:t>
      </w:r>
      <w:proofErr w:type="spellEnd"/>
      <w:r w:rsidR="008A6AD7"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 стратегії розвитку та є постійними експортерами</w:t>
      </w:r>
    </w:p>
    <w:p w:rsidR="00B04FBC" w:rsidRPr="008A6AD7" w:rsidRDefault="00B04FBC" w:rsidP="008A6AD7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lang w:val="uk-UA"/>
        </w:rPr>
      </w:pPr>
    </w:p>
    <w:p w:rsidR="00653024" w:rsidRPr="008A6AD7" w:rsidRDefault="00B04FBC" w:rsidP="008A6AD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8A6AD7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uk-UA"/>
        </w:rPr>
        <w:t xml:space="preserve">7. Виконавець: </w:t>
      </w:r>
      <w:r w:rsidR="008A6AD7" w:rsidRPr="008A6AD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  <w:t>компанія “</w:t>
      </w:r>
      <w:proofErr w:type="spellStart"/>
      <w:r w:rsidR="008A6AD7" w:rsidRPr="008A6AD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  <w:t>Кімонікс</w:t>
      </w:r>
      <w:proofErr w:type="spellEnd"/>
      <w:r w:rsidR="008A6AD7" w:rsidRPr="008A6AD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  <w:t xml:space="preserve"> Інтернешнл </w:t>
      </w:r>
      <w:proofErr w:type="spellStart"/>
      <w:r w:rsidR="008A6AD7" w:rsidRPr="008A6AD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  <w:t>Ко</w:t>
      </w:r>
      <w:proofErr w:type="spellEnd"/>
      <w:r w:rsidR="008A6AD7" w:rsidRPr="008A6AD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  <w:t>.”</w:t>
      </w:r>
    </w:p>
    <w:p w:rsidR="008A6AD7" w:rsidRPr="008A6AD7" w:rsidRDefault="008A6AD7" w:rsidP="008A6AD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0E3830" w:rsidRPr="008A6AD7" w:rsidRDefault="00B04FBC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rFonts w:eastAsiaTheme="minorHAnsi"/>
          <w:color w:val="000000" w:themeColor="text1"/>
          <w:spacing w:val="-4"/>
          <w:lang w:val="uk-UA" w:eastAsia="en-US"/>
        </w:rPr>
      </w:pPr>
      <w:r w:rsidRPr="008A6AD7">
        <w:rPr>
          <w:iCs/>
          <w:color w:val="000000" w:themeColor="text1"/>
          <w:lang w:val="uk-UA"/>
        </w:rPr>
        <w:t>8. Сфера</w:t>
      </w:r>
      <w:r w:rsidRPr="008A6AD7">
        <w:rPr>
          <w:rFonts w:eastAsiaTheme="minorHAnsi"/>
          <w:color w:val="000000" w:themeColor="text1"/>
          <w:spacing w:val="-4"/>
          <w:lang w:val="uk-UA" w:eastAsia="en-US"/>
        </w:rPr>
        <w:t xml:space="preserve"> діяльності:</w:t>
      </w:r>
      <w:r w:rsidR="0039138D" w:rsidRPr="008A6AD7">
        <w:rPr>
          <w:rFonts w:eastAsiaTheme="minorHAnsi"/>
          <w:color w:val="000000" w:themeColor="text1"/>
          <w:spacing w:val="-4"/>
          <w:lang w:val="uk-UA" w:eastAsia="en-US"/>
        </w:rPr>
        <w:t xml:space="preserve"> </w:t>
      </w:r>
      <w:r w:rsidR="008A6AD7" w:rsidRPr="008A6AD7">
        <w:rPr>
          <w:rFonts w:eastAsiaTheme="minorHAnsi"/>
          <w:color w:val="000000" w:themeColor="text1"/>
          <w:spacing w:val="-4"/>
          <w:lang w:val="uk-UA" w:eastAsia="en-US"/>
        </w:rPr>
        <w:t>розвитку експортного потенціалу</w:t>
      </w:r>
      <w:r w:rsidR="008A6AD7" w:rsidRPr="008A6AD7">
        <w:rPr>
          <w:rFonts w:eastAsiaTheme="minorHAnsi"/>
          <w:color w:val="000000" w:themeColor="text1"/>
          <w:spacing w:val="-4"/>
          <w:lang w:val="uk-UA" w:eastAsia="en-US"/>
        </w:rPr>
        <w:t xml:space="preserve"> </w:t>
      </w:r>
      <w:r w:rsidR="008A6AD7" w:rsidRPr="008A6AD7">
        <w:rPr>
          <w:rFonts w:eastAsiaTheme="minorHAnsi"/>
          <w:color w:val="000000" w:themeColor="text1"/>
          <w:spacing w:val="-4"/>
          <w:lang w:val="uk-UA" w:eastAsia="en-US"/>
        </w:rPr>
        <w:t>аграрних переробних підприємств</w:t>
      </w:r>
    </w:p>
    <w:p w:rsidR="008A6AD7" w:rsidRPr="008A6AD7" w:rsidRDefault="008A6AD7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lang w:val="uk-UA"/>
        </w:rPr>
      </w:pPr>
    </w:p>
    <w:p w:rsidR="00B37270" w:rsidRPr="008A6AD7" w:rsidRDefault="008A6AD7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8A6AD7">
        <w:rPr>
          <w:iCs/>
          <w:color w:val="000000" w:themeColor="text1"/>
          <w:sz w:val="26"/>
          <w:szCs w:val="26"/>
          <w:lang w:val="uk-UA"/>
        </w:rPr>
        <w:t xml:space="preserve">Кінцева мета: </w:t>
      </w:r>
    </w:p>
    <w:p w:rsidR="00B37270" w:rsidRPr="00B37270" w:rsidRDefault="00B37270" w:rsidP="008A6AD7">
      <w:pPr>
        <w:numPr>
          <w:ilvl w:val="0"/>
          <w:numId w:val="29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Збільшити обсяги закупівлі та переробки сировини, зокрема, налагоджуючи довгострокове партнерство з мікро, малими та середніми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агровиробниками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B37270" w:rsidRPr="00B37270" w:rsidRDefault="00B37270" w:rsidP="008A6AD7">
      <w:pPr>
        <w:numPr>
          <w:ilvl w:val="0"/>
          <w:numId w:val="29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Запровадити нові технології та практики переробки продукції зернових, щоб збільшити продуктивність щонайменше на 25%,</w:t>
      </w:r>
    </w:p>
    <w:p w:rsidR="00B37270" w:rsidRPr="00B37270" w:rsidRDefault="00B37270" w:rsidP="008A6AD7">
      <w:pPr>
        <w:numPr>
          <w:ilvl w:val="0"/>
          <w:numId w:val="29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Розробити довгострокову експортну стратегію та збільшити обсяги продажів на 20% через 5 нових експортних каналів та ринків збуту готової продукції переробки,</w:t>
      </w:r>
    </w:p>
    <w:p w:rsidR="00B37270" w:rsidRPr="00B37270" w:rsidRDefault="00B37270" w:rsidP="008A6AD7">
      <w:pPr>
        <w:numPr>
          <w:ilvl w:val="0"/>
          <w:numId w:val="29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Збільшити обсяги продажів на закордонних ринках.</w:t>
      </w:r>
    </w:p>
    <w:p w:rsidR="00B37270" w:rsidRPr="00B37270" w:rsidRDefault="00B37270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B37270">
        <w:rPr>
          <w:color w:val="000000" w:themeColor="text1"/>
          <w:lang w:val="uk-UA"/>
        </w:rPr>
        <w:t xml:space="preserve">Участь у конкурсі можуть брати недержавні (приватні) підприємства/компанії, які мають </w:t>
      </w:r>
      <w:proofErr w:type="spellStart"/>
      <w:r w:rsidRPr="00B37270">
        <w:rPr>
          <w:color w:val="000000" w:themeColor="text1"/>
          <w:lang w:val="uk-UA"/>
        </w:rPr>
        <w:t>експортоорієнтовані</w:t>
      </w:r>
      <w:proofErr w:type="spellEnd"/>
      <w:r w:rsidRPr="00B37270">
        <w:rPr>
          <w:color w:val="000000" w:themeColor="text1"/>
          <w:lang w:val="uk-UA"/>
        </w:rPr>
        <w:t xml:space="preserve"> стратегії розвитку та є постійними експортерами.</w:t>
      </w:r>
    </w:p>
    <w:p w:rsidR="00B37270" w:rsidRPr="00B37270" w:rsidRDefault="00B37270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B37270">
        <w:rPr>
          <w:color w:val="000000" w:themeColor="text1"/>
          <w:lang w:val="uk-UA"/>
        </w:rPr>
        <w:t>Особливу увагу АГРО звертатиме на відновлення та посилення переробних потужностей з метою виробництва продукції з доданою вартістю на експорт з таких категорій вхідної сировини: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кукурудза на комбікорми і на харчові продукти;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пшениця для продовольчих, промислових і кормових цілей;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жито на промислові та кормові цілі;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насіння соняшнику промислове;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високоолеїнове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насіння соняшнику;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соєві боби на промислові та кормові цілі;</w:t>
      </w:r>
    </w:p>
    <w:p w:rsidR="00B37270" w:rsidRPr="00B37270" w:rsidRDefault="00B37270" w:rsidP="008A6AD7">
      <w:pPr>
        <w:numPr>
          <w:ilvl w:val="0"/>
          <w:numId w:val="30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насіння сортове та звичайного циклу.</w:t>
      </w:r>
    </w:p>
    <w:p w:rsidR="00B37270" w:rsidRPr="00B37270" w:rsidRDefault="00B37270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B37270">
        <w:rPr>
          <w:color w:val="000000" w:themeColor="text1"/>
          <w:lang w:val="uk-UA"/>
        </w:rPr>
        <w:t>Звертаємо увагу, що не передбачається участь проектів, спрямованих на зберігання зернових, олійних та бобових, що включає приймання, очищення, сушіння, зберігання, відвантаження зерна на залізницю та автотранспорт.</w:t>
      </w:r>
    </w:p>
    <w:p w:rsidR="00B37270" w:rsidRPr="00B37270" w:rsidRDefault="00B37270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405E66"/>
          <w:lang w:val="uk-UA"/>
        </w:rPr>
      </w:pPr>
      <w:r w:rsidRPr="00B37270">
        <w:rPr>
          <w:color w:val="000000" w:themeColor="text1"/>
          <w:lang w:val="uk-UA"/>
        </w:rPr>
        <w:t>Повний опис технічного завдання дивіться за </w:t>
      </w:r>
      <w:hyperlink r:id="rId9" w:tgtFrame="_blank" w:history="1">
        <w:r w:rsidRPr="00B37270">
          <w:rPr>
            <w:rStyle w:val="a3"/>
            <w:lang w:val="uk-UA"/>
          </w:rPr>
          <w:t>посиланням</w:t>
        </w:r>
      </w:hyperlink>
      <w:r w:rsidRPr="00B37270">
        <w:rPr>
          <w:color w:val="405E66"/>
          <w:lang w:val="uk-UA"/>
        </w:rPr>
        <w:t>. </w:t>
      </w:r>
    </w:p>
    <w:p w:rsidR="00B37270" w:rsidRPr="00B37270" w:rsidRDefault="00B37270" w:rsidP="008A6AD7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B37270">
        <w:rPr>
          <w:rStyle w:val="a7"/>
          <w:color w:val="000000" w:themeColor="text1"/>
          <w:lang w:val="uk-UA"/>
        </w:rPr>
        <w:t>Дедлайни:</w:t>
      </w:r>
    </w:p>
    <w:p w:rsidR="00B37270" w:rsidRPr="00B37270" w:rsidRDefault="00B37270" w:rsidP="008A6AD7">
      <w:pPr>
        <w:numPr>
          <w:ilvl w:val="0"/>
          <w:numId w:val="31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405E66"/>
          <w:sz w:val="24"/>
          <w:szCs w:val="24"/>
        </w:rPr>
      </w:pP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до 12 </w:t>
      </w:r>
      <w:proofErr w:type="spellStart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грудня</w:t>
      </w:r>
      <w:proofErr w:type="spellEnd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2023 р. 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зареєструватися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передзаявочний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семінар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(адреса для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реєстрації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0" w:history="1">
        <w:r w:rsidRPr="00B37270">
          <w:rPr>
            <w:rStyle w:val="a3"/>
            <w:rFonts w:ascii="Times New Roman" w:hAnsi="Times New Roman" w:cs="Times New Roman"/>
            <w:sz w:val="24"/>
            <w:szCs w:val="24"/>
          </w:rPr>
          <w:t>agro.subawards@chemonics.com</w:t>
        </w:r>
      </w:hyperlink>
      <w:r w:rsidRPr="00B37270">
        <w:rPr>
          <w:rFonts w:ascii="Times New Roman" w:hAnsi="Times New Roman" w:cs="Times New Roman"/>
          <w:color w:val="405E66"/>
          <w:sz w:val="24"/>
          <w:szCs w:val="24"/>
        </w:rPr>
        <w:t>)</w:t>
      </w:r>
    </w:p>
    <w:p w:rsidR="00B37270" w:rsidRPr="00B37270" w:rsidRDefault="00B37270" w:rsidP="008A6AD7">
      <w:pPr>
        <w:numPr>
          <w:ilvl w:val="0"/>
          <w:numId w:val="31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з 11:00 до 13:00 14 </w:t>
      </w:r>
      <w:proofErr w:type="spellStart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грудня</w:t>
      </w:r>
      <w:proofErr w:type="spellEnd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2023 р.</w:t>
      </w: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–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передзаявочний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онлайн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семінар</w:t>
      </w:r>
      <w:proofErr w:type="spellEnd"/>
    </w:p>
    <w:p w:rsidR="00B37270" w:rsidRPr="00B37270" w:rsidRDefault="00B37270" w:rsidP="008A6AD7">
      <w:pPr>
        <w:numPr>
          <w:ilvl w:val="0"/>
          <w:numId w:val="31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405E66"/>
          <w:sz w:val="24"/>
          <w:szCs w:val="24"/>
        </w:rPr>
      </w:pP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до 18:00, </w:t>
      </w: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proofErr w:type="spellStart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грудня</w:t>
      </w:r>
      <w:proofErr w:type="spellEnd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2023 р. 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надіслати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всі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запитання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участі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конкурсі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ім’я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Нелі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Лайко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менеджерки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відділу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субгрантів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контрактів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, на ел</w:t>
      </w:r>
      <w:proofErr w:type="gram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дресу </w:t>
      </w:r>
      <w:hyperlink r:id="rId11" w:history="1">
        <w:r w:rsidRPr="00B37270">
          <w:rPr>
            <w:rStyle w:val="a3"/>
            <w:rFonts w:ascii="Times New Roman" w:hAnsi="Times New Roman" w:cs="Times New Roman"/>
            <w:sz w:val="24"/>
            <w:szCs w:val="24"/>
          </w:rPr>
          <w:t>nlaiko@chemonics.com</w:t>
        </w:r>
      </w:hyperlink>
      <w:r w:rsidRPr="00B37270">
        <w:rPr>
          <w:rFonts w:ascii="Times New Roman" w:hAnsi="Times New Roman" w:cs="Times New Roman"/>
          <w:color w:val="405E66"/>
          <w:sz w:val="24"/>
          <w:szCs w:val="24"/>
        </w:rPr>
        <w:t> </w:t>
      </w: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посиланням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РПЗ-08)</w:t>
      </w:r>
    </w:p>
    <w:p w:rsidR="00B37270" w:rsidRPr="00B37270" w:rsidRDefault="00B37270" w:rsidP="008A6AD7">
      <w:pPr>
        <w:numPr>
          <w:ilvl w:val="0"/>
          <w:numId w:val="31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до 18:00, 7 </w:t>
      </w:r>
      <w:proofErr w:type="spellStart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січня</w:t>
      </w:r>
      <w:proofErr w:type="spellEnd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2024 р. </w:t>
      </w: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київським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часом</w:t>
      </w: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подати заявки 1-го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етапу</w:t>
      </w:r>
      <w:proofErr w:type="spellEnd"/>
    </w:p>
    <w:p w:rsidR="00B37270" w:rsidRPr="00B37270" w:rsidRDefault="00B37270" w:rsidP="008A6AD7">
      <w:pPr>
        <w:numPr>
          <w:ilvl w:val="0"/>
          <w:numId w:val="31"/>
        </w:numPr>
        <w:shd w:val="clear" w:color="auto" w:fill="FFFFFF"/>
        <w:spacing w:after="0" w:line="22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31 </w:t>
      </w:r>
      <w:proofErr w:type="spellStart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травня</w:t>
      </w:r>
      <w:proofErr w:type="spellEnd"/>
      <w:r w:rsidRPr="00B3727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2024 р. </w:t>
      </w:r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кінцевий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термін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>подачі</w:t>
      </w:r>
      <w:proofErr w:type="spellEnd"/>
      <w:r w:rsidRPr="00B3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заявок</w:t>
      </w:r>
    </w:p>
    <w:p w:rsidR="008A6AD7" w:rsidRDefault="008A6AD7" w:rsidP="008A6AD7">
      <w:pPr>
        <w:pStyle w:val="a6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pacing w:val="-4"/>
          <w:sz w:val="26"/>
          <w:szCs w:val="26"/>
          <w:lang w:val="uk-UA"/>
        </w:rPr>
      </w:pPr>
    </w:p>
    <w:p w:rsidR="00FB19BC" w:rsidRPr="00B37270" w:rsidRDefault="0062692D" w:rsidP="008A6AD7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  <w:r w:rsidRPr="0062692D">
        <w:rPr>
          <w:b/>
          <w:color w:val="000000" w:themeColor="text1"/>
          <w:spacing w:val="-4"/>
          <w:sz w:val="26"/>
          <w:szCs w:val="26"/>
          <w:lang w:val="uk-UA"/>
        </w:rPr>
        <w:t xml:space="preserve">ІнфоДжерела: </w:t>
      </w:r>
      <w:hyperlink r:id="rId12" w:history="1">
        <w:r w:rsidR="00B37270" w:rsidRPr="00B37270">
          <w:rPr>
            <w:rStyle w:val="a3"/>
            <w:spacing w:val="-4"/>
            <w:sz w:val="26"/>
            <w:szCs w:val="26"/>
            <w:lang w:val="uk-UA"/>
          </w:rPr>
          <w:t>https://www.prostir.ua/?grants=prohrama-usaid-ahro-nadast-703-mln-hryven-na-rozvytok-eksportoorijentovanoji-pererobky-zernovyh-olijnyh-ta-bobovyh-kultur</w:t>
        </w:r>
      </w:hyperlink>
    </w:p>
    <w:p w:rsidR="00B37270" w:rsidRPr="0062692D" w:rsidRDefault="00B37270" w:rsidP="00B37270">
      <w:pPr>
        <w:pStyle w:val="a6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pacing w:val="-4"/>
          <w:sz w:val="26"/>
          <w:szCs w:val="26"/>
          <w:lang w:val="uk-UA"/>
        </w:rPr>
      </w:pPr>
    </w:p>
    <w:sectPr w:rsidR="00B37270" w:rsidRPr="0062692D" w:rsidSect="008A6AD7">
      <w:headerReference w:type="default" r:id="rId13"/>
      <w:pgSz w:w="11906" w:h="16838"/>
      <w:pgMar w:top="567" w:right="424" w:bottom="42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3E" w:rsidRDefault="00BC203E" w:rsidP="008C70AD">
      <w:pPr>
        <w:spacing w:after="0" w:line="240" w:lineRule="auto"/>
      </w:pPr>
      <w:r>
        <w:separator/>
      </w:r>
    </w:p>
  </w:endnote>
  <w:endnote w:type="continuationSeparator" w:id="0">
    <w:p w:rsidR="00BC203E" w:rsidRDefault="00BC203E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3E" w:rsidRDefault="00BC203E" w:rsidP="008C70AD">
      <w:pPr>
        <w:spacing w:after="0" w:line="240" w:lineRule="auto"/>
      </w:pPr>
      <w:r>
        <w:separator/>
      </w:r>
    </w:p>
  </w:footnote>
  <w:footnote w:type="continuationSeparator" w:id="0">
    <w:p w:rsidR="00BC203E" w:rsidRDefault="00BC203E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B20336" w:rsidRDefault="00B20336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AD7">
          <w:rPr>
            <w:noProof/>
          </w:rPr>
          <w:t>2</w:t>
        </w:r>
        <w:r>
          <w:fldChar w:fldCharType="end"/>
        </w:r>
      </w:p>
      <w:p w:rsidR="00B20336" w:rsidRPr="003A511A" w:rsidRDefault="00BC203E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D4F1D"/>
    <w:multiLevelType w:val="multilevel"/>
    <w:tmpl w:val="BCC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54079"/>
    <w:multiLevelType w:val="multilevel"/>
    <w:tmpl w:val="652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E0A7C"/>
    <w:multiLevelType w:val="multilevel"/>
    <w:tmpl w:val="CD70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6"/>
  </w:num>
  <w:num w:numId="5">
    <w:abstractNumId w:val="23"/>
  </w:num>
  <w:num w:numId="6">
    <w:abstractNumId w:val="28"/>
  </w:num>
  <w:num w:numId="7">
    <w:abstractNumId w:val="11"/>
  </w:num>
  <w:num w:numId="8">
    <w:abstractNumId w:val="9"/>
  </w:num>
  <w:num w:numId="9">
    <w:abstractNumId w:val="6"/>
  </w:num>
  <w:num w:numId="10">
    <w:abstractNumId w:val="24"/>
  </w:num>
  <w:num w:numId="11">
    <w:abstractNumId w:val="13"/>
  </w:num>
  <w:num w:numId="12">
    <w:abstractNumId w:val="0"/>
  </w:num>
  <w:num w:numId="13">
    <w:abstractNumId w:val="29"/>
  </w:num>
  <w:num w:numId="14">
    <w:abstractNumId w:val="20"/>
  </w:num>
  <w:num w:numId="15">
    <w:abstractNumId w:val="25"/>
  </w:num>
  <w:num w:numId="16">
    <w:abstractNumId w:val="14"/>
  </w:num>
  <w:num w:numId="17">
    <w:abstractNumId w:val="10"/>
  </w:num>
  <w:num w:numId="18">
    <w:abstractNumId w:val="1"/>
  </w:num>
  <w:num w:numId="19">
    <w:abstractNumId w:val="27"/>
  </w:num>
  <w:num w:numId="20">
    <w:abstractNumId w:val="4"/>
  </w:num>
  <w:num w:numId="21">
    <w:abstractNumId w:val="2"/>
  </w:num>
  <w:num w:numId="22">
    <w:abstractNumId w:val="5"/>
  </w:num>
  <w:num w:numId="23">
    <w:abstractNumId w:val="15"/>
  </w:num>
  <w:num w:numId="24">
    <w:abstractNumId w:val="12"/>
  </w:num>
  <w:num w:numId="25">
    <w:abstractNumId w:val="22"/>
  </w:num>
  <w:num w:numId="26">
    <w:abstractNumId w:val="7"/>
  </w:num>
  <w:num w:numId="27">
    <w:abstractNumId w:val="8"/>
  </w:num>
  <w:num w:numId="28">
    <w:abstractNumId w:val="18"/>
  </w:num>
  <w:num w:numId="29">
    <w:abstractNumId w:val="21"/>
  </w:num>
  <w:num w:numId="30">
    <w:abstractNumId w:val="1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1128"/>
    <w:rsid w:val="00036FB5"/>
    <w:rsid w:val="00052940"/>
    <w:rsid w:val="00076521"/>
    <w:rsid w:val="000E3830"/>
    <w:rsid w:val="000F6220"/>
    <w:rsid w:val="000F6F83"/>
    <w:rsid w:val="00112E75"/>
    <w:rsid w:val="001426C1"/>
    <w:rsid w:val="00227841"/>
    <w:rsid w:val="0028354D"/>
    <w:rsid w:val="002A4548"/>
    <w:rsid w:val="002F332D"/>
    <w:rsid w:val="0030226A"/>
    <w:rsid w:val="00320EF1"/>
    <w:rsid w:val="00321D11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4012E2"/>
    <w:rsid w:val="00446B8A"/>
    <w:rsid w:val="004801CA"/>
    <w:rsid w:val="004B7E73"/>
    <w:rsid w:val="004C5761"/>
    <w:rsid w:val="004C5906"/>
    <w:rsid w:val="00521BFB"/>
    <w:rsid w:val="00534F87"/>
    <w:rsid w:val="005677E8"/>
    <w:rsid w:val="005925E9"/>
    <w:rsid w:val="005A4400"/>
    <w:rsid w:val="00624AD1"/>
    <w:rsid w:val="0062692D"/>
    <w:rsid w:val="00653024"/>
    <w:rsid w:val="006D0B20"/>
    <w:rsid w:val="006F24F3"/>
    <w:rsid w:val="00737523"/>
    <w:rsid w:val="00772C2A"/>
    <w:rsid w:val="0077617D"/>
    <w:rsid w:val="007902EC"/>
    <w:rsid w:val="007C5D99"/>
    <w:rsid w:val="007D14D9"/>
    <w:rsid w:val="007F1DDF"/>
    <w:rsid w:val="00820674"/>
    <w:rsid w:val="00823530"/>
    <w:rsid w:val="008452D5"/>
    <w:rsid w:val="008A6AD7"/>
    <w:rsid w:val="008C1C24"/>
    <w:rsid w:val="008C70AD"/>
    <w:rsid w:val="008E5C5A"/>
    <w:rsid w:val="00AA7416"/>
    <w:rsid w:val="00AB2563"/>
    <w:rsid w:val="00AE7369"/>
    <w:rsid w:val="00B04FBC"/>
    <w:rsid w:val="00B20336"/>
    <w:rsid w:val="00B305CF"/>
    <w:rsid w:val="00B37270"/>
    <w:rsid w:val="00B85536"/>
    <w:rsid w:val="00BA6862"/>
    <w:rsid w:val="00BC203E"/>
    <w:rsid w:val="00C570BC"/>
    <w:rsid w:val="00C827DA"/>
    <w:rsid w:val="00CC29A1"/>
    <w:rsid w:val="00CC3715"/>
    <w:rsid w:val="00CD6534"/>
    <w:rsid w:val="00CE4F1F"/>
    <w:rsid w:val="00D224F3"/>
    <w:rsid w:val="00D333E9"/>
    <w:rsid w:val="00D62FD4"/>
    <w:rsid w:val="00DA4E88"/>
    <w:rsid w:val="00DB79F4"/>
    <w:rsid w:val="00DB7D3A"/>
    <w:rsid w:val="00E27083"/>
    <w:rsid w:val="00E5273B"/>
    <w:rsid w:val="00E72CA0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87495"/>
    <w:rsid w:val="00FB19B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rostir.ua/?grants=prohrama-usaid-ahro-nadast-703-mln-hryven-na-rozvytok-eksportoorijentovanoji-pererobky-zernovyh-olijnyh-ta-bobovyh-kultu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laiko@chemonic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gro.subawards@chemon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orturl.at/vyGX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931E-23D8-4B75-BE6F-FE15198A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</cp:revision>
  <dcterms:created xsi:type="dcterms:W3CDTF">2023-07-19T07:07:00Z</dcterms:created>
  <dcterms:modified xsi:type="dcterms:W3CDTF">2023-12-04T14:06:00Z</dcterms:modified>
</cp:coreProperties>
</file>