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78" w:rsidRPr="00D70878" w:rsidRDefault="00D708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</w:pPr>
      <w:r w:rsidRPr="00D70878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Державна підтримка</w:t>
      </w:r>
      <w:r w:rsidR="00FC598F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.</w:t>
      </w:r>
      <w:r w:rsidRPr="00D70878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Кредитна програма для експортерів</w:t>
      </w:r>
    </w:p>
    <w:p w:rsidR="004C4B0F" w:rsidRPr="004C4B0F" w:rsidRDefault="004A72F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4070C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кредит до 12 місяців (1 року).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</w:t>
      </w:r>
      <w:r w:rsidR="00DE41F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Україна (підконтрльна</w:t>
      </w:r>
      <w:bookmarkStart w:id="0" w:name="_GoBack"/>
      <w:bookmarkEnd w:id="0"/>
      <w:r w:rsidR="00DE41F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7087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 млн грн (в еквіваленті)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2805AF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00C0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українські </w:t>
      </w:r>
      <w:r w:rsidR="002805A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підприємства-експортери</w:t>
      </w:r>
      <w:r w:rsidR="00600C0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із досвідом ЗЕД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Виконавц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Ощадбанк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АБ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УКРГАЗБАНК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Укрексімбанк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КРЕДОБАНК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 та 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КБ 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="00F4070C" w:rsidRPr="00D70878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Приватбанк</w:t>
      </w:r>
      <w:r w:rsidR="00F4070C" w:rsidRPr="00F4070C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="00F4070C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D91E99" w:rsidRPr="00F4070C" w:rsidRDefault="00D91E9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5A2AC1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згідно з </w:t>
      </w:r>
      <w:hyperlink r:id="rId10" w:anchor="n3" w:tgtFrame="_blank" w:history="1">
        <w:r w:rsidR="002805AF" w:rsidRPr="00C84DE1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  <w:lang w:val="uk-UA"/>
          </w:rPr>
          <w:t>УКТ ЗЕД</w:t>
        </w:r>
      </w:hyperlink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див.нижче  (орієнтовно</w:t>
      </w:r>
      <w:r w:rsidR="00824433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2805AF"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шпалери;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мітли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та щітки; канцтовари (олівці, ручки);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гігієнічні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прокладки і тампони, пелюшки і підгузки та аналогічні вироби; іграшки, ігри та спортивний інвентар;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меблі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; постільні речі, матраци, матрацні основи, диванні подушки та аналогічні набивні речі меблів, світильники та освітлювальне обладнання, в іншому місці не зазначені; світлові покажчики, табло та подібні вироби; збірні будівельні конструкції;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прилади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та апарати оптичні, фотографічні, кінематографічні, контрольні, вимірювальні, прецизійні; медичні або хірургічні; їх частини та приладдя;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судна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, човни та інші плавучі засоби;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літальні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апарати, космічні апарати та їх частини; транспортні засоби (трактори, автомобілі, кузови, частини до них);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залізничні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локомотиви або моторні вагони трамвая, рухомий склад та їх частини; шляхове обладнання та пристрої для залізниць або трамвайних колій та їх частини; механічне (у тому числі електромеханічне) сигналізаційне обладнання всіх видів;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електричні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машини, обладнання та їх частини; апаратура для запису або відтворення звуку, телевізійна апаратура для запису та відтворення зображення і звуку, їх частини та приладдя;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реактори 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ядерні, котли, машини, обладнання і механічні пристрої; їх частини; </w:t>
      </w:r>
      <w:r w:rsidR="00600C09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інструменти</w:t>
      </w:r>
      <w:r w:rsidR="005A2AC1" w:rsidRPr="005A2AC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, ножові вироби, ложки та виделки з недорогоцінних металів; їх частини з недорогоцінних металів)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70878" w:rsidRPr="00D70878" w:rsidRDefault="00D70878" w:rsidP="00D7087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70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Програма доступного фінансування для експортерів під час війни “</w:t>
      </w:r>
      <w:r w:rsidRPr="00D70878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 w:eastAsia="ru-RU"/>
        </w:rPr>
        <w:t>Кредити на виконання зовнішньоекономічних договорів за спрощеною процедурою”</w:t>
      </w:r>
      <w:r w:rsidRPr="00D70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допоможе українським виробникам вийти на нові ринки й стати конкурентними.</w:t>
      </w:r>
    </w:p>
    <w:p w:rsidR="00D70878" w:rsidRPr="00D70878" w:rsidRDefault="00D70878" w:rsidP="00D7087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Відновлення українського експорту - це сильна конкурентоздатна економіка та притік до держави валютної виручки, що гарантує макроекономічну стабільність і пришвидшує нашу перемогу над агресором.</w:t>
      </w:r>
    </w:p>
    <w:p w:rsidR="00B63C80" w:rsidRPr="00D70878" w:rsidRDefault="00B63C80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Як отримати кредит зі спрощеними вимогами до застави на виконання ЗЕД за спрощеною процедурою?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Уряд максимально спростив взаємодію держави та експортера, забезпечивши видачу страхового покриття в автоматичному режимі після схвалення банком кредитної угоди.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lastRenderedPageBreak/>
        <w:t>Експортер, який потребує фінансування на виконання зовнішньоекономічного договору, звертається до банку за позикою та надає відповідний пакет документів.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Якщо банк ухвалює рішення видати кредит, ЕКА автоматично страхує позику.</w:t>
      </w:r>
    </w:p>
    <w:p w:rsidR="00D70878" w:rsidRPr="00DE41FB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Яка максимальна сума позики за програмою?</w:t>
      </w:r>
    </w:p>
    <w:p w:rsidR="00D70878" w:rsidRPr="00D70878" w:rsidRDefault="00D70878" w:rsidP="00D708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Максимальний ліміт заборгованості на одного позичальника встановлюють індивідуально для кожного банку, але не може бути більше 20 000 000 гривень (в еквіваленті).</w:t>
      </w:r>
    </w:p>
    <w:p w:rsidR="00D70878" w:rsidRPr="00D70878" w:rsidRDefault="00D70878" w:rsidP="00D708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Ліміт заборгованості позичальника не перевищує 85% суми ЗЕД, на виконання якого надається експортні (-й) кредити.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</w:pPr>
      <w:r w:rsidRPr="00F4070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uk-UA"/>
        </w:rPr>
        <w:t>Чи є обмеження щодо терміну страхування?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Термін кредиту до 12 місяців (1 року).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Тип кредиту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Відновлювальна кредитна лінія, невідновлювальна кредитна лінія, стандартний кредит.</w:t>
      </w:r>
    </w:p>
    <w:p w:rsidR="00D70878" w:rsidRDefault="00D70878" w:rsidP="00F4070C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Валюта кредиту</w:t>
      </w:r>
      <w:r w:rsidR="00F4070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 xml:space="preserve">: 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USD, EUR, UAH.</w:t>
      </w:r>
    </w:p>
    <w:p w:rsidR="005A2AC1" w:rsidRDefault="005A2AC1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Джерела погашення кредиту</w:t>
      </w:r>
    </w:p>
    <w:p w:rsidR="00D70878" w:rsidRPr="00D70878" w:rsidRDefault="00D70878" w:rsidP="00D7087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Основне – виручка за ЗЕД, що фінансується у рамках програми.</w:t>
      </w:r>
    </w:p>
    <w:p w:rsidR="00D70878" w:rsidRPr="00D70878" w:rsidRDefault="00D70878" w:rsidP="00D7087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Додаткове – виручка від фінансово-господарської діяльності.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Вимоги до позичальника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Позичальник має відповідати таким вимогам: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Повинен бути українським експортером;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Термін реєстрації як суб’єкта господарювання перевищує 12 місяців;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Має досвід зовнішньоекономічної діяльності (наявні надходження валютної виручки за останні 12 місяців);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Клас відповідно до вимог Постанови НБУ № 351: позичальника-юридичної особи – не гірший, ніж «6», позичальника-фізичної особи підприємця – не гірший, ніж «2»;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Допустимою є приналежність позичальника до групи пов’язаних осіб, осіб під спільним контролем, клас групи під спільним контролем – не гірше, ніж «6», за умови дотримання всіх інших вимог;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Протермінована заборгованість позичальника та членів ГПК перед банком-страхувальником за наявними зобов'язаннями протягом останніх 12 місяців понад 30 днів має бути відсутня;</w:t>
      </w:r>
    </w:p>
    <w:p w:rsidR="00D70878" w:rsidRPr="00D70878" w:rsidRDefault="00D70878" w:rsidP="00D7087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Відсутня інформація щодо порушенням позичальником законодавства або умов отримання державної підтримки.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Вимоги до зовнішньоекономічного договору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ЗЕД, на виконання якого надається експортний кредит, має відповідати таким вимогам: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Предмет ЗЕД – відповідно до переліку робіт, послуг українського походження, а також товарів за групами згідно з УКТ ЗЕД, за винятком тих, які </w:t>
      </w:r>
      <w:r w:rsidRPr="00425BB3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ЕКА не підтримує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відповідно до </w:t>
      </w:r>
      <w:hyperlink r:id="rId11" w:anchor="Text" w:tooltip="ст.8 Закону України " w:history="1"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ст.8 Закону України «Про забезпечення масштабної експансії експорту товарів (робіт, послуг) українського походження шляхом страхування, гарантування та здешевлення кредитування експорту»</w:t>
        </w:r>
      </w:hyperlink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 (№1792).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Сторони договору (український експортер – позичальник та іноземний покупець) не можуть входити до однієї групи пов’язаних осіб та/або таких, що є під спільним контролем.</w:t>
      </w:r>
    </w:p>
    <w:p w:rsidR="00D70878" w:rsidRPr="00D70878" w:rsidRDefault="00D70878" w:rsidP="00D7087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Іноземний покупець має відповідати вимогам, визначеним у Законі №1792 (в першу чергу, ст.11).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F4070C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Яка вартість страхування експортних кредитів в ЕКА та хто сплачує страховий платіж?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Страховий тариф визначають у відсотках від страхової суми та становить: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період дії правового режиму воєнного стану та впродовж 60 днів після його припинення чи скасування незалежно від терміну кредиту – 0,5%.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61-го дня після припинення чи скасування правового режиму воєнного стану, якщо термін кредиту до 6 (шести) місяців включно – 1,2%.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 61-го дня після припинення чи скасування правового режиму воєнного стану, якщо термін кредиту від 7 (семи) до 12 (дванадцяти) місяців включно – 1,6%.</w:t>
      </w:r>
    </w:p>
    <w:p w:rsidR="00D70878" w:rsidRPr="00D70878" w:rsidRDefault="00D70878" w:rsidP="00D7087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Страховий платіж сплачує банк.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Який ризик страхує ЕКА?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ЕКА страхує ризик відмови позичальника від погашення кредиту.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Що покриває ЕКА у разі настання страхового випадку?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Страхують лише основний борг за кредитом, тобто тіло кредиту без відсотків.</w:t>
      </w: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Як сплачують страхове відшкодування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У разі несплати позичальником основного боргу (його частини):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Протягом 15 робочих днів з дня несплати повідомити ЕКА (обов’язково!).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Протягом 60 календарних днів (період очікування) банк спільно з ЕКА проводять дії щодо отримання платежу.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Після закінчення періоду очікування можна подавати заяву на отримання виплати страхового відшкодування від ЕКА.</w:t>
      </w:r>
    </w:p>
    <w:p w:rsidR="00D70878" w:rsidRPr="00D70878" w:rsidRDefault="00D70878" w:rsidP="00D7087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Після виплати відшкодування, до ЕКА переходить право вимоги до позичальника.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Які документи має надати експортер для отримання беззаставної позики на виконання ЗЕД за спрощеню процедурою?</w:t>
      </w:r>
    </w:p>
    <w:p w:rsidR="00D70878" w:rsidRPr="00D70878" w:rsidRDefault="00D70878" w:rsidP="00D70878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Перелік документів затверджує банк, який надаватиме кредит.</w:t>
      </w: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Важливо!</w:t>
      </w:r>
    </w:p>
    <w:p w:rsidR="00D70878" w:rsidRPr="00D70878" w:rsidRDefault="00D70878" w:rsidP="00D7087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Кредит зі спрощеними вимогами до застави за спрощеною процедурою може бути виданий виключно на виконання зовнішньоекономічних торгових операцій.</w:t>
      </w:r>
    </w:p>
    <w:p w:rsidR="00D70878" w:rsidRPr="00D70878" w:rsidRDefault="00D70878" w:rsidP="00F4070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Програму можна комбінувати з іншими кредитними продуктами банку, а також іншими програмами, зокрема з іншими портфельними гарантійними інструментами (наприклад, гарантії Фонду розвитку підприємництва) та програмою 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en-US"/>
        </w:rPr>
        <w:t>“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Доступні кредити під 5-7-9%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en-US"/>
        </w:rPr>
        <w:t>”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4070C" w:rsidRDefault="00F4070C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</w:p>
    <w:p w:rsidR="00D70878" w:rsidRPr="00F4070C" w:rsidRDefault="00D70878" w:rsidP="00D70878">
      <w:pPr>
        <w:pStyle w:val="1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</w:pPr>
      <w:r w:rsidRPr="00F4070C">
        <w:rPr>
          <w:rFonts w:ascii="Times New Roman" w:hAnsi="Times New Roman" w:cs="Times New Roman"/>
          <w:bCs w:val="0"/>
          <w:color w:val="000000"/>
          <w:sz w:val="26"/>
          <w:szCs w:val="26"/>
          <w:lang w:val="uk-UA"/>
        </w:rPr>
        <w:t>Кредит за спрощеною процедурою можна отримати у будь-якому банку?</w:t>
      </w:r>
    </w:p>
    <w:p w:rsidR="00D70878" w:rsidRPr="00D70878" w:rsidRDefault="00D70878" w:rsidP="00F4070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 xml:space="preserve">Ні, лише ті, які мають Угоди портфельного страхування з Експортно-кредитним агентством України. Наразі, це </w:t>
      </w:r>
      <w:r w:rsidR="00F4070C" w:rsidRPr="00F4070C">
        <w:rPr>
          <w:color w:val="000000"/>
          <w:sz w:val="26"/>
          <w:szCs w:val="26"/>
          <w:lang w:val="uk-UA"/>
        </w:rPr>
        <w:t xml:space="preserve">– 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Ощадбанк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АБ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УКРГАЗБАНК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="00F4070C" w:rsidRPr="00F4070C">
        <w:rPr>
          <w:color w:val="000000"/>
          <w:sz w:val="26"/>
          <w:szCs w:val="26"/>
          <w:lang w:val="uk-UA"/>
        </w:rPr>
        <w:br/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Укрексімбанк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, 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КРЕДОБАНК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 та 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 xml:space="preserve">АТ КБ 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70878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Приватбанк</w:t>
      </w:r>
      <w:r w:rsidR="00F4070C" w:rsidRPr="00F4070C"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70878">
        <w:rPr>
          <w:color w:val="000000"/>
          <w:sz w:val="26"/>
          <w:szCs w:val="26"/>
          <w:lang w:val="uk-UA"/>
        </w:rPr>
        <w:t>. Перелік банків згодом розширюватиметься.</w:t>
      </w:r>
    </w:p>
    <w:p w:rsidR="00D70878" w:rsidRPr="00D70878" w:rsidRDefault="00D70878" w:rsidP="00F4070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70878">
        <w:rPr>
          <w:color w:val="000000"/>
          <w:sz w:val="26"/>
          <w:szCs w:val="26"/>
          <w:lang w:val="uk-UA"/>
        </w:rPr>
        <w:t>Заповніть, будь ласка, наведену нижче форму, і представник банку зв’яжеться з вами та надасть більш детальну інформацію.</w:t>
      </w:r>
    </w:p>
    <w:p w:rsidR="00D70878" w:rsidRPr="00D70878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D70878" w:rsidRPr="00D70878" w:rsidRDefault="00D70878" w:rsidP="00D70878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uk-UA"/>
        </w:rPr>
        <w:t>Норми чинного законодавства, завдяки яким запроваджено програму</w:t>
      </w:r>
    </w:p>
    <w:p w:rsidR="00D70878" w:rsidRPr="00D70878" w:rsidRDefault="00D7087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Ухвале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ння ВРУ змін до Закону України 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забезпечення масштабної експансії експорту товарів (робіт, послуг) українського походження шляхом страхування, гарантування та здешевлення кредитування експорту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щодо </w:t>
      </w: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забезпечення ефективного функціонування експортно-кредитного агентства України від 22 березня 2022 року.</w:t>
      </w:r>
    </w:p>
    <w:p w:rsidR="00D70878" w:rsidRPr="00D70878" w:rsidRDefault="00D7087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 </w:t>
      </w:r>
      <w:hyperlink r:id="rId12" w:anchor="Text" w:tooltip="Положення про визначення банками України розміру кредитного ризику за активними банківськими операціями, затвердженого постановою Правління НБУ від 30.06.2016 року № 351" w:history="1">
        <w:r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Положення про визначення банками України розміру кредитного ризику за активними банківськими операціями, затвердженого постановою Правління НБУ від 30.06.2016 року № 351</w:t>
        </w:r>
      </w:hyperlink>
      <w:r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 гарантії/договори страхування Товариства є прийнятним видом забезпечення із коефіцієнтом ліквідності забезпечення 0,85.</w:t>
      </w:r>
    </w:p>
    <w:p w:rsidR="00D70878" w:rsidRPr="00D70878" w:rsidRDefault="004A72F8" w:rsidP="00D708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hyperlink r:id="rId13" w:anchor="Text" w:tooltip="Постановою від 18.03.2022 № 312 Кабінет Міністрів України" w:history="1">
        <w:r w:rsidR="00D70878" w:rsidRPr="00D70878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Постановою від 18.03.2022 № 312 Кабінет Міністрів України</w:t>
        </w:r>
      </w:hyperlink>
      <w:r w:rsidR="00D70878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розширив перелік інструментів, які дозволяють банкам надавати кредити у межах програми «Доступні 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кредити 5-7-9%</w:t>
      </w:r>
      <w:r w:rsidR="00F4070C" w:rsidRPr="00F4070C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="00D70878" w:rsidRPr="00D70878">
        <w:rPr>
          <w:rFonts w:ascii="Times New Roman" w:hAnsi="Times New Roman" w:cs="Times New Roman"/>
          <w:color w:val="000000"/>
          <w:sz w:val="26"/>
          <w:szCs w:val="26"/>
          <w:lang w:val="uk-UA"/>
        </w:rPr>
        <w:t>, у разі нестачі забезпечення, доповнивши перелік страхуванням експортних кредитів від ЕКА.</w:t>
      </w:r>
    </w:p>
    <w:p w:rsidR="00D70878" w:rsidRPr="00F4070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D91E99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4" w:history="1">
        <w:r w:rsidR="002805AF" w:rsidRPr="002805AF">
          <w:rPr>
            <w:rStyle w:val="a4"/>
            <w:rFonts w:eastAsiaTheme="minorHAnsi"/>
            <w:sz w:val="26"/>
            <w:szCs w:val="26"/>
            <w:bdr w:val="none" w:sz="0" w:space="0" w:color="auto" w:frame="1"/>
            <w:lang w:val="uk-UA" w:eastAsia="en-US"/>
          </w:rPr>
          <w:t>https://export.gov.ua/financing_of_exporters</w:t>
        </w:r>
      </w:hyperlink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</w:p>
    <w:sectPr w:rsidR="00D91E99" w:rsidRPr="00D91E99" w:rsidSect="002805AF">
      <w:headerReference w:type="default" r:id="rId15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F8" w:rsidRDefault="004A72F8" w:rsidP="0084352D">
      <w:pPr>
        <w:spacing w:after="0" w:line="240" w:lineRule="auto"/>
      </w:pPr>
      <w:r>
        <w:separator/>
      </w:r>
    </w:p>
  </w:endnote>
  <w:endnote w:type="continuationSeparator" w:id="0">
    <w:p w:rsidR="004A72F8" w:rsidRDefault="004A72F8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F8" w:rsidRDefault="004A72F8" w:rsidP="0084352D">
      <w:pPr>
        <w:spacing w:after="0" w:line="240" w:lineRule="auto"/>
      </w:pPr>
      <w:r>
        <w:separator/>
      </w:r>
    </w:p>
  </w:footnote>
  <w:footnote w:type="continuationSeparator" w:id="0">
    <w:p w:rsidR="004A72F8" w:rsidRDefault="004A72F8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1FB">
          <w:rPr>
            <w:noProof/>
          </w:rPr>
          <w:t>4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3B6BBD"/>
    <w:rsid w:val="003E059C"/>
    <w:rsid w:val="00425BB3"/>
    <w:rsid w:val="004A72F8"/>
    <w:rsid w:val="004C4B0F"/>
    <w:rsid w:val="004D47C3"/>
    <w:rsid w:val="004F56BF"/>
    <w:rsid w:val="005A2AC1"/>
    <w:rsid w:val="005B77E6"/>
    <w:rsid w:val="00600C09"/>
    <w:rsid w:val="00675BBF"/>
    <w:rsid w:val="00696AF1"/>
    <w:rsid w:val="006A5389"/>
    <w:rsid w:val="006C5886"/>
    <w:rsid w:val="0071437A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E3945"/>
    <w:rsid w:val="00AE739C"/>
    <w:rsid w:val="00B63C80"/>
    <w:rsid w:val="00B77A74"/>
    <w:rsid w:val="00BA5F99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DE41FB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12-2022-%D0%B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v0351500-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792-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674%D0%B0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export.gov.ua/financing_of_export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A01-6A30-4354-92DB-56EBA6E5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6026</Words>
  <Characters>3435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62</cp:revision>
  <cp:lastPrinted>2023-04-20T12:47:00Z</cp:lastPrinted>
  <dcterms:created xsi:type="dcterms:W3CDTF">2022-08-19T08:37:00Z</dcterms:created>
  <dcterms:modified xsi:type="dcterms:W3CDTF">2023-12-12T08:36:00Z</dcterms:modified>
</cp:coreProperties>
</file>